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5B359D27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7B2E94">
        <w:rPr>
          <w:rFonts w:ascii="Arial Nova" w:hAnsi="Arial Nova"/>
          <w:bCs/>
          <w:sz w:val="24"/>
          <w:szCs w:val="24"/>
          <w:lang w:val="en-US"/>
        </w:rPr>
        <w:t>TURNITIN – CREATE ASSIGNMENT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FD54720" w14:textId="35D21205" w:rsidR="00075195" w:rsidRPr="000C41DD" w:rsidRDefault="007B2E94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  <w:r>
        <w:rPr>
          <w:rFonts w:ascii="Arial Nova" w:hAnsi="Arial Nova"/>
          <w:b w:val="0"/>
          <w:sz w:val="24"/>
          <w:szCs w:val="24"/>
        </w:rPr>
        <w:t>The following instructions outline how to create a Turnitin assignment.</w:t>
      </w:r>
    </w:p>
    <w:p w14:paraId="3BBBCD8E" w14:textId="460AE354" w:rsidR="007B2E94" w:rsidRPr="007B2E94" w:rsidRDefault="00846200" w:rsidP="007B2E94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6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27A3C60E" w14:textId="77777777" w:rsidR="002D5A1E" w:rsidRDefault="007B2E94" w:rsidP="002D5A1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Login with your credentials and select the Blackboard icon.</w:t>
      </w:r>
    </w:p>
    <w:p w14:paraId="699F5DA8" w14:textId="77777777" w:rsidR="002D5A1E" w:rsidRDefault="002D5A1E" w:rsidP="002D5A1E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82762E6" w14:textId="50F1DC5B" w:rsidR="007B2E94" w:rsidRDefault="002D5A1E" w:rsidP="002D5A1E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2D5A1E">
        <w:rPr>
          <w:rFonts w:ascii="Arial Nova" w:hAnsi="Arial Nova"/>
          <w:bCs/>
          <w:sz w:val="24"/>
          <w:szCs w:val="24"/>
          <w:lang w:val="en-US"/>
        </w:rPr>
        <w:t>Navigate to the course for which you need to create the assignment. In the "Course Content" section, click on the plus sign (+) and select "Content Market".</w:t>
      </w:r>
    </w:p>
    <w:p w14:paraId="18C7ABDD" w14:textId="77777777" w:rsidR="002D5A1E" w:rsidRPr="002D5A1E" w:rsidRDefault="002D5A1E" w:rsidP="002D5A1E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330F4AD" w14:textId="141E165A" w:rsidR="007B2E94" w:rsidRDefault="007B2E94" w:rsidP="00A2371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Scroll down until you </w:t>
      </w:r>
      <w:r w:rsidR="002D5A1E">
        <w:rPr>
          <w:rFonts w:ascii="Arial Nova" w:hAnsi="Arial Nova"/>
          <w:bCs/>
          <w:sz w:val="24"/>
          <w:szCs w:val="24"/>
          <w:lang w:val="en-US"/>
        </w:rPr>
        <w:t>find the</w:t>
      </w:r>
      <w:r>
        <w:rPr>
          <w:rFonts w:ascii="Arial Nova" w:hAnsi="Arial Nova"/>
          <w:bCs/>
          <w:sz w:val="24"/>
          <w:szCs w:val="24"/>
          <w:lang w:val="en-US"/>
        </w:rPr>
        <w:t xml:space="preserve"> “Turnitin GGE” option and select it.</w:t>
      </w:r>
    </w:p>
    <w:p w14:paraId="07E21F08" w14:textId="77777777" w:rsidR="007B2E94" w:rsidRPr="007B2E94" w:rsidRDefault="007B2E94" w:rsidP="007B2E9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1AE8556" w14:textId="07DAFEA4" w:rsidR="007B2E94" w:rsidRPr="007B2E94" w:rsidRDefault="007B2E94" w:rsidP="007B2E94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To complete the assignment setup. Fill out the Turnitin assignment settings.</w:t>
      </w:r>
    </w:p>
    <w:p w14:paraId="5A28937A" w14:textId="15AC1B78" w:rsidR="007B2E94" w:rsidRDefault="007B2E94" w:rsidP="007B2E9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Assignment Title</w:t>
      </w:r>
    </w:p>
    <w:p w14:paraId="3FDCE091" w14:textId="70444D1A" w:rsidR="007B2E94" w:rsidRDefault="007B2E94" w:rsidP="007B2E9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Max grade</w:t>
      </w:r>
    </w:p>
    <w:p w14:paraId="74B27B3A" w14:textId="6C1C35F0" w:rsidR="007B2E94" w:rsidRDefault="007B2E94" w:rsidP="007B2E9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Start </w:t>
      </w:r>
      <w:proofErr w:type="gramStart"/>
      <w:r>
        <w:rPr>
          <w:rFonts w:ascii="Arial Nova" w:hAnsi="Arial Nova"/>
          <w:bCs/>
          <w:sz w:val="24"/>
          <w:szCs w:val="24"/>
          <w:lang w:val="en-US"/>
        </w:rPr>
        <w:t>date</w:t>
      </w:r>
      <w:proofErr w:type="gramEnd"/>
    </w:p>
    <w:p w14:paraId="7E6C21CD" w14:textId="569EF160" w:rsidR="007B2E94" w:rsidRDefault="007B2E94" w:rsidP="007B2E9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Due date </w:t>
      </w:r>
    </w:p>
    <w:p w14:paraId="2CF19203" w14:textId="1D7B2B89" w:rsidR="007B2E94" w:rsidRDefault="007B2E94" w:rsidP="007B2E94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Feedback release date</w:t>
      </w:r>
    </w:p>
    <w:p w14:paraId="12C541DE" w14:textId="7517D355" w:rsidR="007B2E94" w:rsidRDefault="007B2E94" w:rsidP="007B2E94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After you complete those settings, click on “Optional Setting”</w:t>
      </w:r>
      <w:r w:rsidR="00E27AC6">
        <w:rPr>
          <w:rFonts w:ascii="Arial Nova" w:hAnsi="Arial Nova"/>
          <w:bCs/>
          <w:sz w:val="24"/>
          <w:szCs w:val="24"/>
          <w:lang w:val="en-US"/>
        </w:rPr>
        <w:t>. (VERY IMPORTANT)</w:t>
      </w:r>
    </w:p>
    <w:p w14:paraId="3A29BD69" w14:textId="141635AD" w:rsidR="00E27AC6" w:rsidRDefault="00E27AC6" w:rsidP="00E27AC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A323B36" w14:textId="7E911B20" w:rsidR="00E27AC6" w:rsidRDefault="002D5A1E" w:rsidP="007B2E94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I</w:t>
      </w:r>
      <w:r w:rsidR="00E27AC6">
        <w:rPr>
          <w:rFonts w:ascii="Arial Nova" w:hAnsi="Arial Nova"/>
          <w:bCs/>
          <w:sz w:val="24"/>
          <w:szCs w:val="24"/>
          <w:lang w:val="en-US"/>
        </w:rPr>
        <w:t xml:space="preserve">n the dropdown list </w:t>
      </w:r>
      <w:r>
        <w:rPr>
          <w:rFonts w:ascii="Arial Nova" w:hAnsi="Arial Nova"/>
          <w:bCs/>
          <w:sz w:val="24"/>
          <w:szCs w:val="24"/>
          <w:lang w:val="en-US"/>
        </w:rPr>
        <w:t xml:space="preserve">for </w:t>
      </w:r>
      <w:r w:rsidR="00E27AC6">
        <w:rPr>
          <w:rFonts w:ascii="Arial Nova" w:hAnsi="Arial Nova"/>
          <w:bCs/>
          <w:sz w:val="24"/>
          <w:szCs w:val="24"/>
          <w:lang w:val="en-US"/>
        </w:rPr>
        <w:t>“Submit papers to” you must select “Do not store the submitted papers”.</w:t>
      </w:r>
    </w:p>
    <w:p w14:paraId="0C151234" w14:textId="77777777" w:rsidR="00E27AC6" w:rsidRPr="00E27AC6" w:rsidRDefault="00E27AC6" w:rsidP="00E27AC6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CB687B1" w14:textId="09790259" w:rsidR="00E27AC6" w:rsidRPr="00E27AC6" w:rsidRDefault="002D5A1E" w:rsidP="00E27AC6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For </w:t>
      </w:r>
      <w:r w:rsidR="00E27AC6">
        <w:rPr>
          <w:rFonts w:ascii="Arial Nova" w:hAnsi="Arial Nova"/>
          <w:bCs/>
          <w:sz w:val="24"/>
          <w:szCs w:val="24"/>
          <w:lang w:val="en-US"/>
        </w:rPr>
        <w:t xml:space="preserve">the drop-down list “Generate Similarity Reports for student submission”, you can </w:t>
      </w:r>
      <w:r>
        <w:rPr>
          <w:rFonts w:ascii="Arial Nova" w:hAnsi="Arial Nova"/>
          <w:bCs/>
          <w:sz w:val="24"/>
          <w:szCs w:val="24"/>
          <w:lang w:val="en-US"/>
        </w:rPr>
        <w:t>choose from</w:t>
      </w:r>
      <w:r w:rsidR="00E27AC6">
        <w:rPr>
          <w:rFonts w:ascii="Arial Nova" w:hAnsi="Arial Nova"/>
          <w:bCs/>
          <w:sz w:val="24"/>
          <w:szCs w:val="24"/>
          <w:lang w:val="en-US"/>
        </w:rPr>
        <w:t>:</w:t>
      </w:r>
    </w:p>
    <w:p w14:paraId="5DE2B13E" w14:textId="18D52F17" w:rsidR="00E27AC6" w:rsidRDefault="00E27AC6" w:rsidP="00E27AC6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Generate reports immediately (resubmissions are not allowed)</w:t>
      </w:r>
    </w:p>
    <w:p w14:paraId="4CB0B19D" w14:textId="1E529A90" w:rsidR="00E27AC6" w:rsidRDefault="00E27AC6" w:rsidP="00E27AC6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27AC6">
        <w:rPr>
          <w:rFonts w:ascii="Arial Nova" w:hAnsi="Arial Nova"/>
          <w:bCs/>
          <w:sz w:val="24"/>
          <w:szCs w:val="24"/>
          <w:lang w:val="en-US"/>
        </w:rPr>
        <w:t>Generate reports immediately (resubmissions are allowed until due date). After 3 resubmissions reports generate after 24 hours.</w:t>
      </w:r>
    </w:p>
    <w:p w14:paraId="40F1A6CF" w14:textId="3CF60CE2" w:rsidR="00E27AC6" w:rsidRDefault="00E27AC6" w:rsidP="00E27AC6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27AC6">
        <w:rPr>
          <w:rFonts w:ascii="Arial Nova" w:hAnsi="Arial Nova"/>
          <w:bCs/>
          <w:sz w:val="24"/>
          <w:szCs w:val="24"/>
          <w:lang w:val="en-US"/>
        </w:rPr>
        <w:t>Generate reports on due date (resubmissions are allowed until due date)</w:t>
      </w:r>
    </w:p>
    <w:p w14:paraId="1C4DB5EF" w14:textId="77777777" w:rsidR="00E27AC6" w:rsidRPr="00E27AC6" w:rsidRDefault="00E27AC6" w:rsidP="00E27AC6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ind w:left="992"/>
        <w:rPr>
          <w:rFonts w:ascii="Arial Nova" w:hAnsi="Arial Nova"/>
          <w:bCs/>
          <w:sz w:val="24"/>
          <w:szCs w:val="24"/>
          <w:lang w:val="en-US"/>
        </w:rPr>
      </w:pPr>
    </w:p>
    <w:p w14:paraId="6216F974" w14:textId="57626517" w:rsidR="00E27AC6" w:rsidRDefault="00E27AC6" w:rsidP="00E27AC6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</w:t>
      </w:r>
      <w:r w:rsidR="002D5A1E">
        <w:rPr>
          <w:rFonts w:ascii="Arial Nova" w:hAnsi="Arial Nova"/>
          <w:bCs/>
          <w:sz w:val="24"/>
          <w:szCs w:val="24"/>
          <w:lang w:val="en-US"/>
        </w:rPr>
        <w:t>dditionally</w:t>
      </w:r>
      <w:r>
        <w:rPr>
          <w:rFonts w:ascii="Arial Nova" w:hAnsi="Arial Nova"/>
          <w:bCs/>
          <w:sz w:val="24"/>
          <w:szCs w:val="24"/>
          <w:lang w:val="en-US"/>
        </w:rPr>
        <w:t>, select the checkbox “Allow students to view Similarity Reports” to allow your students to view their Similarity Reports for submission to this assignment.</w:t>
      </w:r>
    </w:p>
    <w:p w14:paraId="0AA4EE04" w14:textId="198B068A" w:rsidR="00E27AC6" w:rsidRDefault="00E27AC6" w:rsidP="00E27AC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8862118" w14:textId="6D56B02E" w:rsidR="00E27AC6" w:rsidRDefault="00E27AC6" w:rsidP="00E27AC6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 xml:space="preserve">Select the checkbox “Exclude bibliographic materials” to exclude text </w:t>
      </w:r>
      <w:r w:rsidRPr="00E27AC6">
        <w:rPr>
          <w:rFonts w:ascii="Arial Nova" w:hAnsi="Arial Nova"/>
          <w:bCs/>
          <w:sz w:val="24"/>
          <w:szCs w:val="24"/>
          <w:lang w:val="en-US"/>
        </w:rPr>
        <w:t>appearing in the bibliography, works cited, or references sections of student papers from being checked for matches when generating Originality Reports.</w:t>
      </w:r>
      <w:r w:rsidRPr="00E27AC6">
        <w:t xml:space="preserve"> </w:t>
      </w:r>
      <w:r w:rsidRPr="00E27AC6">
        <w:rPr>
          <w:rFonts w:ascii="Arial Nova" w:hAnsi="Arial Nova"/>
          <w:bCs/>
          <w:sz w:val="24"/>
          <w:szCs w:val="24"/>
          <w:lang w:val="en-US"/>
        </w:rPr>
        <w:t>You can overwrite this setting in individual Similarity Reports.</w:t>
      </w:r>
    </w:p>
    <w:p w14:paraId="7478C34C" w14:textId="77777777" w:rsidR="00E27AC6" w:rsidRPr="00E27AC6" w:rsidRDefault="00E27AC6" w:rsidP="00E27AC6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9A75BC8" w14:textId="1CCC83D4" w:rsidR="00E27AC6" w:rsidRDefault="00E27AC6" w:rsidP="00E27AC6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E27AC6">
        <w:rPr>
          <w:rFonts w:ascii="Arial Nova" w:hAnsi="Arial Nova"/>
          <w:bCs/>
          <w:sz w:val="24"/>
          <w:szCs w:val="24"/>
          <w:lang w:val="en-US"/>
        </w:rPr>
        <w:t>Select the checkbox</w:t>
      </w:r>
      <w:r>
        <w:rPr>
          <w:rFonts w:ascii="Arial Nova" w:hAnsi="Arial Nova"/>
          <w:bCs/>
          <w:sz w:val="24"/>
          <w:szCs w:val="24"/>
          <w:lang w:val="en-US"/>
        </w:rPr>
        <w:t xml:space="preserve"> “Exclude quoted materials”</w:t>
      </w:r>
      <w:r w:rsidRPr="00E27AC6">
        <w:rPr>
          <w:rFonts w:ascii="Arial Nova" w:hAnsi="Arial Nova"/>
          <w:bCs/>
          <w:sz w:val="24"/>
          <w:szCs w:val="24"/>
          <w:lang w:val="en-US"/>
        </w:rPr>
        <w:t xml:space="preserve"> to exclude quotations from being checked for matches when generating Similarity Reports. You can overwrite this setting in individual Similarity Reports.</w:t>
      </w:r>
    </w:p>
    <w:p w14:paraId="338C92B2" w14:textId="77777777" w:rsidR="002D5A1E" w:rsidRPr="002D5A1E" w:rsidRDefault="002D5A1E" w:rsidP="002D5A1E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6C4F26B3" w14:textId="4437DC47" w:rsidR="002D5A1E" w:rsidRDefault="002D5A1E" w:rsidP="00E27AC6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2D5A1E">
        <w:rPr>
          <w:rFonts w:ascii="Arial Nova" w:hAnsi="Arial Nova"/>
          <w:bCs/>
          <w:sz w:val="24"/>
          <w:szCs w:val="24"/>
          <w:lang w:val="en-US"/>
        </w:rPr>
        <w:t>Select the checkbox</w:t>
      </w:r>
      <w:r>
        <w:rPr>
          <w:rFonts w:ascii="Arial Nova" w:hAnsi="Arial Nova"/>
          <w:bCs/>
          <w:sz w:val="24"/>
          <w:szCs w:val="24"/>
          <w:lang w:val="en-US"/>
        </w:rPr>
        <w:t xml:space="preserve"> “Exclude small source”</w:t>
      </w:r>
      <w:r w:rsidRPr="002D5A1E">
        <w:rPr>
          <w:rFonts w:ascii="Arial Nova" w:hAnsi="Arial Nova"/>
          <w:bCs/>
          <w:sz w:val="24"/>
          <w:szCs w:val="24"/>
          <w:lang w:val="en-US"/>
        </w:rPr>
        <w:t xml:space="preserve"> to exclude matches that are not of sufficient length (determined by you) from being considered when generating Similarity Reports. A</w:t>
      </w:r>
      <w:r w:rsidRPr="002D5A1E">
        <w:rPr>
          <w:rFonts w:ascii="Arial" w:hAnsi="Arial" w:cs="Arial"/>
          <w:bCs/>
          <w:sz w:val="24"/>
          <w:szCs w:val="24"/>
          <w:lang w:val="en-US"/>
        </w:rPr>
        <w:t> </w:t>
      </w:r>
      <w:r w:rsidRPr="002D5A1E">
        <w:rPr>
          <w:rFonts w:ascii="Arial Nova" w:hAnsi="Arial Nova"/>
          <w:bCs/>
          <w:sz w:val="24"/>
          <w:szCs w:val="24"/>
          <w:lang w:val="en-US"/>
        </w:rPr>
        <w:t>box will appear, where you can exclude matches by word count or</w:t>
      </w:r>
      <w:r w:rsidRPr="002D5A1E">
        <w:rPr>
          <w:rFonts w:ascii="Arial" w:hAnsi="Arial" w:cs="Arial"/>
          <w:bCs/>
          <w:sz w:val="24"/>
          <w:szCs w:val="24"/>
          <w:lang w:val="en-US"/>
        </w:rPr>
        <w:t> </w:t>
      </w:r>
      <w:r w:rsidRPr="002D5A1E">
        <w:rPr>
          <w:rFonts w:ascii="Arial Nova" w:hAnsi="Arial Nova"/>
          <w:bCs/>
          <w:sz w:val="24"/>
          <w:szCs w:val="24"/>
          <w:lang w:val="en-US"/>
        </w:rPr>
        <w:t>by percentage.</w:t>
      </w:r>
    </w:p>
    <w:p w14:paraId="57794B7B" w14:textId="77777777" w:rsidR="002D5A1E" w:rsidRPr="002D5A1E" w:rsidRDefault="002D5A1E" w:rsidP="002D5A1E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E35F809" w14:textId="65D96530" w:rsidR="002D5A1E" w:rsidRPr="00E27AC6" w:rsidRDefault="002D5A1E" w:rsidP="00E27AC6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Scroll to the bottom of the settings page and click “Submit” to save your settings.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D117A"/>
    <w:multiLevelType w:val="hybridMultilevel"/>
    <w:tmpl w:val="6B88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1CE0"/>
    <w:multiLevelType w:val="hybridMultilevel"/>
    <w:tmpl w:val="D6CA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72D3"/>
    <w:multiLevelType w:val="hybridMultilevel"/>
    <w:tmpl w:val="1D94220A"/>
    <w:lvl w:ilvl="0" w:tplc="C9E85C48">
      <w:numFmt w:val="bullet"/>
      <w:lvlText w:val="-"/>
      <w:lvlJc w:val="left"/>
      <w:pPr>
        <w:ind w:left="1352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6"/>
  </w:num>
  <w:num w:numId="2" w16cid:durableId="1508978177">
    <w:abstractNumId w:val="5"/>
  </w:num>
  <w:num w:numId="3" w16cid:durableId="425926762">
    <w:abstractNumId w:val="3"/>
  </w:num>
  <w:num w:numId="4" w16cid:durableId="2059815461">
    <w:abstractNumId w:val="1"/>
  </w:num>
  <w:num w:numId="5" w16cid:durableId="182670090">
    <w:abstractNumId w:val="4"/>
  </w:num>
  <w:num w:numId="6" w16cid:durableId="799498217">
    <w:abstractNumId w:val="2"/>
  </w:num>
  <w:num w:numId="7" w16cid:durableId="181641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D5A1E"/>
    <w:rsid w:val="002F2A49"/>
    <w:rsid w:val="003A47B8"/>
    <w:rsid w:val="00404490"/>
    <w:rsid w:val="00471D40"/>
    <w:rsid w:val="00535F08"/>
    <w:rsid w:val="006E3828"/>
    <w:rsid w:val="00767DD9"/>
    <w:rsid w:val="007B2E94"/>
    <w:rsid w:val="00807601"/>
    <w:rsid w:val="00846200"/>
    <w:rsid w:val="00893798"/>
    <w:rsid w:val="00913C83"/>
    <w:rsid w:val="00921151"/>
    <w:rsid w:val="00A23718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27AC6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ge-cyp.onelogi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EUC Chatbot</cp:lastModifiedBy>
  <cp:revision>2</cp:revision>
  <dcterms:created xsi:type="dcterms:W3CDTF">2024-02-22T07:59:00Z</dcterms:created>
  <dcterms:modified xsi:type="dcterms:W3CDTF">2024-02-22T07:59:00Z</dcterms:modified>
</cp:coreProperties>
</file>